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ind w:left="0" w:firstLine="0"/>
        <w:jc w:val="center"/>
        <w:rPr>
          <w:b w:val="1"/>
          <w:bCs w:val="1"/>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1888080" cy="730425"/>
            <wp:effectExtent b="0" l="0" r="0" t="0"/>
            <wp:wrapNone/>
            <wp:docPr descr="American Studies @ Mauston" id="1" name="image1.jpg"/>
            <a:graphic>
              <a:graphicData uri="http://schemas.openxmlformats.org/drawingml/2006/picture">
                <pic:pic>
                  <pic:nvPicPr>
                    <pic:cNvPr descr="American Studies @ Mauston" id="0" name="image1.jpg"/>
                    <pic:cNvPicPr preferRelativeResize="0"/>
                  </pic:nvPicPr>
                  <pic:blipFill>
                    <a:blip r:embed="rId6"/>
                    <a:srcRect b="0" l="0" r="0" t="0"/>
                    <a:stretch>
                      <a:fillRect/>
                    </a:stretch>
                  </pic:blipFill>
                  <pic:spPr>
                    <a:xfrm>
                      <a:off x="0" y="0"/>
                      <a:ext cx="1888080" cy="730425"/>
                    </a:xfrm>
                    <a:prstGeom prst="rect"/>
                    <a:ln/>
                  </pic:spPr>
                </pic:pic>
              </a:graphicData>
            </a:graphic>
          </wp:anchor>
        </w:drawing>
      </w:r>
    </w:p>
    <w:p w:rsidR="00000000" w:rsidDel="00000000" w:rsidP="00000000" w:rsidRDefault="00000000" w:rsidRPr="00000000" w14:paraId="00000002">
      <w:pPr>
        <w:pageBreakBefore w:val="0"/>
        <w:ind w:left="0" w:firstLine="0"/>
        <w:jc w:val="center"/>
        <w:rPr>
          <w:b w:val="1"/>
          <w:bCs w:val="1"/>
          <w:sz w:val="30"/>
          <w:szCs w:val="30"/>
        </w:rPr>
      </w:pPr>
      <w:r w:rsidDel="00000000" w:rsidR="00000000" w:rsidRPr="00000000">
        <w:rPr>
          <w:b w:val="1"/>
          <w:bCs w:val="1"/>
          <w:sz w:val="30"/>
          <w:szCs w:val="30"/>
          <w:rtl w:val="0"/>
        </w:rPr>
        <w:t xml:space="preserve">Eagle After School Program 2025-2026 Report </w:t>
      </w:r>
    </w:p>
    <w:p w:rsidR="00000000" w:rsidDel="00000000" w:rsidP="00000000" w:rsidRDefault="00000000" w:rsidRPr="00000000" w14:paraId="00000003">
      <w:pPr>
        <w:pageBreakBefore w:val="0"/>
        <w:ind w:left="0" w:firstLine="0"/>
        <w:jc w:val="center"/>
        <w:rPr>
          <w:b w:val="1"/>
          <w:bCs w:val="1"/>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spacing w:after="240" w:before="240" w:lineRule="auto"/>
        <w:rPr/>
      </w:pPr>
      <w:r w:rsidDel="00000000" w:rsidR="00000000" w:rsidRPr="00000000">
        <w:rPr>
          <w:rtl w:val="0"/>
        </w:rPr>
        <w:t xml:space="preserve">The Eagle After School Program (EASP) is a Nita M. Lowey 21st Century Community Learning Center made possible through a grant from the Wisconsin Department of Public Instruction and the U.S. Department of Education. The mission of the program is to provide a wide variety of enrichment opportunities that support the academic achievement and overall well-being of elementary students and their families within the School District of Mauston.</w:t>
      </w:r>
    </w:p>
    <w:p w:rsidR="00000000" w:rsidDel="00000000" w:rsidP="00000000" w:rsidRDefault="00000000" w:rsidRPr="00000000" w14:paraId="00000007">
      <w:pPr>
        <w:spacing w:after="240" w:before="240" w:lineRule="auto"/>
        <w:rPr/>
      </w:pPr>
      <w:r w:rsidDel="00000000" w:rsidR="00000000" w:rsidRPr="00000000">
        <w:rPr>
          <w:rtl w:val="0"/>
        </w:rPr>
        <w:t xml:space="preserve">The EASP provides students with a healthy snack, academic support and enrichment, opportunities for physical activity, and activities that promote social and emotional wellness each day. The program serves students in 4K through 5th grade and operates on regularly scheduled school days from dismissal until 5:45 p.m. Students with the greatest need are specifically recruited through teacher, principal, and family referrals.</w:t>
      </w:r>
    </w:p>
    <w:p w:rsidR="00000000" w:rsidDel="00000000" w:rsidP="00000000" w:rsidRDefault="00000000" w:rsidRPr="00000000" w14:paraId="00000008">
      <w:pPr>
        <w:widowControl w:val="0"/>
        <w:rPr/>
      </w:pPr>
      <w:r w:rsidDel="00000000" w:rsidR="00000000" w:rsidRPr="00000000">
        <w:rPr>
          <w:rtl w:val="0"/>
        </w:rPr>
      </w:r>
    </w:p>
    <w:tbl>
      <w:tblPr>
        <w:tblStyle w:val="Table1"/>
        <w:tblW w:w="138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35"/>
        <w:gridCol w:w="4485"/>
        <w:gridCol w:w="5055"/>
        <w:tblGridChange w:id="0">
          <w:tblGrid>
            <w:gridCol w:w="4335"/>
            <w:gridCol w:w="4485"/>
            <w:gridCol w:w="5055"/>
          </w:tblGrid>
        </w:tblGridChange>
      </w:tblGrid>
      <w:tr>
        <w:trPr>
          <w:cantSplit w:val="0"/>
          <w:trHeight w:val="500" w:hRule="atLeast"/>
          <w:tblHeader w:val="0"/>
        </w:trPr>
        <w:tc>
          <w:tcPr>
            <w:shd w:fill="ffd966"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b w:val="1"/>
                <w:bCs w:val="1"/>
              </w:rPr>
            </w:pPr>
            <w:r w:rsidDel="00000000" w:rsidR="00000000" w:rsidRPr="00000000">
              <w:rPr>
                <w:b w:val="1"/>
                <w:bCs w:val="1"/>
                <w:rtl w:val="0"/>
              </w:rPr>
              <w:t xml:space="preserve">Program Goals</w:t>
            </w:r>
          </w:p>
        </w:tc>
        <w:tc>
          <w:tcP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b w:val="1"/>
                <w:bCs w:val="1"/>
              </w:rPr>
            </w:pPr>
            <w:r w:rsidDel="00000000" w:rsidR="00000000" w:rsidRPr="00000000">
              <w:rPr>
                <w:b w:val="1"/>
                <w:bCs w:val="1"/>
                <w:rtl w:val="0"/>
              </w:rPr>
              <w:t xml:space="preserve">What it should look like</w:t>
            </w:r>
          </w:p>
        </w:tc>
        <w:tc>
          <w:tcPr>
            <w:shd w:fill="ffd966"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b w:val="1"/>
                <w:bCs w:val="1"/>
              </w:rPr>
            </w:pPr>
            <w:r w:rsidDel="00000000" w:rsidR="00000000" w:rsidRPr="00000000">
              <w:rPr>
                <w:b w:val="1"/>
                <w:bCs w:val="1"/>
                <w:rtl w:val="0"/>
              </w:rPr>
              <w:t xml:space="preserve">2025-2026 Progress</w:t>
            </w:r>
          </w:p>
        </w:tc>
      </w:tr>
      <w:tr>
        <w:trPr>
          <w:cantSplit w:val="0"/>
          <w:trHeight w:val="990.7199999999999" w:hRule="atLeast"/>
          <w:tblHeader w:val="0"/>
        </w:trPr>
        <w:tc>
          <w:tcPr>
            <w:shd w:fill="ffd966"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pPr>
            <w:r w:rsidDel="00000000" w:rsidR="00000000" w:rsidRPr="00000000">
              <w:rPr>
                <w:rtl w:val="0"/>
              </w:rPr>
              <w:t xml:space="preserve">Provide a stable, safe, and supportive environment to meet the needs of the target population.</w:t>
            </w:r>
          </w:p>
        </w:tc>
        <w:tc>
          <w:tcP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pPr>
            <w:r w:rsidDel="00000000" w:rsidR="00000000" w:rsidRPr="00000000">
              <w:rPr>
                <w:rtl w:val="0"/>
              </w:rPr>
              <w:t xml:space="preserve">Provide a space where students and adults feel welcome and safe.</w:t>
            </w:r>
          </w:p>
        </w:tc>
        <w:tc>
          <w:tcPr>
            <w:shd w:fill="ffd966" w:val="clear"/>
            <w:tcMar>
              <w:top w:w="100.0" w:type="dxa"/>
              <w:left w:w="100.0" w:type="dxa"/>
              <w:bottom w:w="100.0" w:type="dxa"/>
              <w:right w:w="100.0" w:type="dxa"/>
            </w:tcMar>
            <w:vAlign w:val="top"/>
          </w:tcPr>
          <w:p w:rsidR="00000000" w:rsidDel="00000000" w:rsidP="00000000" w:rsidRDefault="00000000" w:rsidRPr="00000000" w14:paraId="0000000E">
            <w:pPr>
              <w:widowControl w:val="0"/>
              <w:numPr>
                <w:ilvl w:val="0"/>
                <w:numId w:val="2"/>
              </w:numPr>
              <w:spacing w:line="240" w:lineRule="auto"/>
              <w:ind w:left="720" w:hanging="360"/>
            </w:pPr>
            <w:r w:rsidDel="00000000" w:rsidR="00000000" w:rsidRPr="00000000">
              <w:rPr>
                <w:rtl w:val="0"/>
              </w:rPr>
              <w:t xml:space="preserve">100% of families reported that EASP met or exceeded their expectations for high-quality after school care.</w:t>
            </w:r>
          </w:p>
          <w:p w:rsidR="00000000" w:rsidDel="00000000" w:rsidP="00000000" w:rsidRDefault="00000000" w:rsidRPr="00000000" w14:paraId="0000000F">
            <w:pPr>
              <w:widowControl w:val="0"/>
              <w:numPr>
                <w:ilvl w:val="0"/>
                <w:numId w:val="2"/>
              </w:numPr>
              <w:spacing w:line="240" w:lineRule="auto"/>
              <w:ind w:left="720" w:hanging="360"/>
            </w:pPr>
            <w:r w:rsidDel="00000000" w:rsidR="00000000" w:rsidRPr="00000000">
              <w:rPr>
                <w:rtl w:val="0"/>
              </w:rPr>
              <w:t xml:space="preserve">88% of students enrolled in EASP attended regularly, based on average daily attendance data.</w:t>
            </w:r>
          </w:p>
          <w:p w:rsidR="00000000" w:rsidDel="00000000" w:rsidP="00000000" w:rsidRDefault="00000000" w:rsidRPr="00000000" w14:paraId="00000010">
            <w:pPr>
              <w:widowControl w:val="0"/>
              <w:numPr>
                <w:ilvl w:val="0"/>
                <w:numId w:val="2"/>
              </w:numPr>
              <w:spacing w:line="240" w:lineRule="auto"/>
              <w:ind w:left="720" w:hanging="360"/>
            </w:pPr>
            <w:r w:rsidDel="00000000" w:rsidR="00000000" w:rsidRPr="00000000">
              <w:rPr>
                <w:rtl w:val="0"/>
              </w:rPr>
              <w:t xml:space="preserve">The majority of students reported feeling safe, supported, and connected at EASP, and shared that staff members genuinely care about their well-being and success.</w:t>
            </w:r>
          </w:p>
        </w:tc>
      </w:tr>
      <w:tr>
        <w:trPr>
          <w:cantSplit w:val="0"/>
          <w:trHeight w:val="990.7199999999999" w:hRule="atLeast"/>
          <w:tblHeader w:val="0"/>
        </w:trPr>
        <w:tc>
          <w:tcPr>
            <w:shd w:fill="ffd966"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pPr>
            <w:r w:rsidDel="00000000" w:rsidR="00000000" w:rsidRPr="00000000">
              <w:rPr>
                <w:rtl w:val="0"/>
              </w:rPr>
              <w:t xml:space="preserve">Challenge youth to develop as learners.</w:t>
            </w:r>
          </w:p>
        </w:tc>
        <w:tc>
          <w:tcP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pPr>
            <w:r w:rsidDel="00000000" w:rsidR="00000000" w:rsidRPr="00000000">
              <w:rPr>
                <w:rtl w:val="0"/>
              </w:rPr>
              <w:t xml:space="preserve">Programming that is academically focused and diverse. Improved student achievement in math and reading.</w:t>
            </w:r>
            <w:r w:rsidDel="00000000" w:rsidR="00000000" w:rsidRPr="00000000">
              <w:rPr>
                <w:rtl w:val="0"/>
              </w:rPr>
            </w:r>
          </w:p>
        </w:tc>
        <w:tc>
          <w:tcPr>
            <w:shd w:fill="ffd966" w:val="clear"/>
            <w:tcMar>
              <w:top w:w="100.0" w:type="dxa"/>
              <w:left w:w="100.0" w:type="dxa"/>
              <w:bottom w:w="100.0" w:type="dxa"/>
              <w:right w:w="100.0" w:type="dxa"/>
            </w:tcMar>
            <w:vAlign w:val="top"/>
          </w:tcPr>
          <w:p w:rsidR="00000000" w:rsidDel="00000000" w:rsidP="00000000" w:rsidRDefault="00000000" w:rsidRPr="00000000" w14:paraId="00000013">
            <w:pPr>
              <w:widowControl w:val="0"/>
              <w:numPr>
                <w:ilvl w:val="0"/>
                <w:numId w:val="1"/>
              </w:numPr>
              <w:spacing w:line="240" w:lineRule="auto"/>
              <w:ind w:left="720" w:hanging="360"/>
            </w:pPr>
            <w:r w:rsidDel="00000000" w:rsidR="00000000" w:rsidRPr="00000000">
              <w:rPr>
                <w:rtl w:val="0"/>
              </w:rPr>
              <w:t xml:space="preserve">Ongoing data collection continues to show positive growth in i-Ready reading and math scores.</w:t>
            </w:r>
          </w:p>
          <w:p w:rsidR="00000000" w:rsidDel="00000000" w:rsidP="00000000" w:rsidRDefault="00000000" w:rsidRPr="00000000" w14:paraId="00000014">
            <w:pPr>
              <w:widowControl w:val="0"/>
              <w:numPr>
                <w:ilvl w:val="0"/>
                <w:numId w:val="1"/>
              </w:numPr>
              <w:spacing w:line="240" w:lineRule="auto"/>
              <w:ind w:left="720" w:hanging="360"/>
            </w:pPr>
            <w:r w:rsidDel="00000000" w:rsidR="00000000" w:rsidRPr="00000000">
              <w:rPr>
                <w:rtl w:val="0"/>
              </w:rPr>
              <w:t xml:space="preserve">Students receive at least four hours of academic programming each week.</w:t>
            </w:r>
          </w:p>
          <w:p w:rsidR="00000000" w:rsidDel="00000000" w:rsidP="00000000" w:rsidRDefault="00000000" w:rsidRPr="00000000" w14:paraId="00000015">
            <w:pPr>
              <w:widowControl w:val="0"/>
              <w:numPr>
                <w:ilvl w:val="0"/>
                <w:numId w:val="1"/>
              </w:numPr>
              <w:spacing w:line="240" w:lineRule="auto"/>
              <w:ind w:left="720" w:hanging="360"/>
            </w:pPr>
            <w:r w:rsidDel="00000000" w:rsidR="00000000" w:rsidRPr="00000000">
              <w:rPr>
                <w:rtl w:val="0"/>
              </w:rPr>
              <w:t xml:space="preserve">Additional enrichment opportunities encourage exploration and learning in areas such as art, music, nutrition, and world languages.</w:t>
            </w:r>
          </w:p>
        </w:tc>
      </w:tr>
      <w:tr>
        <w:trPr>
          <w:cantSplit w:val="0"/>
          <w:trHeight w:val="990.7199999999999" w:hRule="atLeast"/>
          <w:tblHeader w:val="0"/>
        </w:trPr>
        <w:tc>
          <w:tcPr>
            <w:shd w:fill="ffd966"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pPr>
            <w:r w:rsidDel="00000000" w:rsidR="00000000" w:rsidRPr="00000000">
              <w:rPr>
                <w:rtl w:val="0"/>
              </w:rPr>
              <w:t xml:space="preserve">Support the development of other skills necessary for student success.</w:t>
            </w:r>
          </w:p>
        </w:tc>
        <w:tc>
          <w:tcP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pPr>
            <w:r w:rsidDel="00000000" w:rsidR="00000000" w:rsidRPr="00000000">
              <w:rPr>
                <w:rtl w:val="0"/>
              </w:rPr>
              <w:t xml:space="preserve">Improved student behavior</w:t>
            </w:r>
          </w:p>
        </w:tc>
        <w:tc>
          <w:tcPr>
            <w:shd w:fill="ffd966" w:val="clear"/>
            <w:tcMar>
              <w:top w:w="100.0" w:type="dxa"/>
              <w:left w:w="100.0" w:type="dxa"/>
              <w:bottom w:w="100.0" w:type="dxa"/>
              <w:right w:w="100.0" w:type="dxa"/>
            </w:tcMar>
            <w:vAlign w:val="top"/>
          </w:tcPr>
          <w:p w:rsidR="00000000" w:rsidDel="00000000" w:rsidP="00000000" w:rsidRDefault="00000000" w:rsidRPr="00000000" w14:paraId="00000018">
            <w:pPr>
              <w:widowControl w:val="0"/>
              <w:numPr>
                <w:ilvl w:val="0"/>
                <w:numId w:val="3"/>
              </w:numPr>
              <w:spacing w:after="0" w:afterAutospacing="0" w:before="240" w:line="240" w:lineRule="auto"/>
              <w:ind w:left="720" w:hanging="360"/>
            </w:pPr>
            <w:r w:rsidDel="00000000" w:rsidR="00000000" w:rsidRPr="00000000">
              <w:rPr>
                <w:rtl w:val="0"/>
              </w:rPr>
              <w:t xml:space="preserve">The majority of EASP families reported satisfaction with the social and emotional programming offered through the program and noted improvements in their child’s behavior, confidence, and overall well-being.</w:t>
            </w:r>
          </w:p>
          <w:p w:rsidR="00000000" w:rsidDel="00000000" w:rsidP="00000000" w:rsidRDefault="00000000" w:rsidRPr="00000000" w14:paraId="00000019">
            <w:pPr>
              <w:widowControl w:val="0"/>
              <w:numPr>
                <w:ilvl w:val="0"/>
                <w:numId w:val="3"/>
              </w:numPr>
              <w:spacing w:after="240" w:before="0" w:beforeAutospacing="0" w:line="240" w:lineRule="auto"/>
              <w:ind w:left="720" w:hanging="360"/>
            </w:pPr>
            <w:r w:rsidDel="00000000" w:rsidR="00000000" w:rsidRPr="00000000">
              <w:rPr>
                <w:rtl w:val="0"/>
              </w:rPr>
              <w:t xml:space="preserve">Office referral data is still being finalized, but current trends appear positive.</w:t>
            </w:r>
          </w:p>
        </w:tc>
      </w:tr>
      <w:tr>
        <w:trPr>
          <w:cantSplit w:val="0"/>
          <w:trHeight w:val="990.7199999999999" w:hRule="atLeast"/>
          <w:tblHeader w:val="0"/>
        </w:trPr>
        <w:tc>
          <w:tcPr>
            <w:shd w:fill="ffd966"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pPr>
            <w:r w:rsidDel="00000000" w:rsidR="00000000" w:rsidRPr="00000000">
              <w:rPr>
                <w:rtl w:val="0"/>
              </w:rPr>
              <w:t xml:space="preserve">Engage families in support of student learning.</w:t>
            </w:r>
          </w:p>
        </w:tc>
        <w:tc>
          <w:tcP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pPr>
            <w:r w:rsidDel="00000000" w:rsidR="00000000" w:rsidRPr="00000000">
              <w:rPr>
                <w:rtl w:val="0"/>
              </w:rPr>
              <w:t xml:space="preserve">Improved school, family, and community connection.</w:t>
            </w:r>
          </w:p>
        </w:tc>
        <w:tc>
          <w:tcPr>
            <w:shd w:fill="ffd966" w:val="clear"/>
            <w:tcMar>
              <w:top w:w="100.0" w:type="dxa"/>
              <w:left w:w="100.0" w:type="dxa"/>
              <w:bottom w:w="100.0" w:type="dxa"/>
              <w:right w:w="100.0" w:type="dxa"/>
            </w:tcMar>
            <w:vAlign w:val="top"/>
          </w:tcPr>
          <w:p w:rsidR="00000000" w:rsidDel="00000000" w:rsidP="00000000" w:rsidRDefault="00000000" w:rsidRPr="00000000" w14:paraId="0000001C">
            <w:pPr>
              <w:widowControl w:val="0"/>
              <w:numPr>
                <w:ilvl w:val="0"/>
                <w:numId w:val="4"/>
              </w:numPr>
              <w:spacing w:line="240" w:lineRule="auto"/>
              <w:ind w:left="720" w:hanging="360"/>
            </w:pPr>
            <w:r w:rsidDel="00000000" w:rsidR="00000000" w:rsidRPr="00000000">
              <w:rPr>
                <w:rtl w:val="0"/>
              </w:rPr>
              <w:t xml:space="preserve">EASP hosted family engagement events that strengthened connections between school, families, and the community.</w:t>
            </w:r>
          </w:p>
          <w:p w:rsidR="00000000" w:rsidDel="00000000" w:rsidP="00000000" w:rsidRDefault="00000000" w:rsidRPr="00000000" w14:paraId="0000001D">
            <w:pPr>
              <w:widowControl w:val="0"/>
              <w:numPr>
                <w:ilvl w:val="0"/>
                <w:numId w:val="4"/>
              </w:numPr>
              <w:spacing w:line="240" w:lineRule="auto"/>
              <w:ind w:left="720" w:hanging="360"/>
            </w:pPr>
            <w:r w:rsidDel="00000000" w:rsidR="00000000" w:rsidRPr="00000000">
              <w:rPr>
                <w:rtl w:val="0"/>
              </w:rPr>
              <w:t xml:space="preserve">EASP partnered with nine community businesses and organizations to provide additional services and enrichment opportunities that enhanced student programming.</w:t>
            </w:r>
          </w:p>
        </w:tc>
      </w:tr>
    </w:tbl>
    <w:p w:rsidR="00000000" w:rsidDel="00000000" w:rsidP="00000000" w:rsidRDefault="00000000" w:rsidRPr="00000000" w14:paraId="0000001E">
      <w:pPr>
        <w:pageBreakBefore w:val="0"/>
        <w:ind w:left="0" w:right="0" w:firstLine="0"/>
        <w:rPr/>
      </w:pPr>
      <w:r w:rsidDel="00000000" w:rsidR="00000000" w:rsidRPr="00000000">
        <w:rPr>
          <w:rtl w:val="0"/>
        </w:rPr>
      </w:r>
    </w:p>
    <w:p w:rsidR="00000000" w:rsidDel="00000000" w:rsidP="00000000" w:rsidRDefault="00000000" w:rsidRPr="00000000" w14:paraId="0000001F">
      <w:pPr>
        <w:pageBreakBefore w:val="0"/>
        <w:ind w:left="0" w:right="0" w:firstLine="0"/>
        <w:rPr>
          <w:b w:val="1"/>
          <w:bCs w:val="1"/>
        </w:rPr>
      </w:pPr>
      <w:r w:rsidDel="00000000" w:rsidR="00000000" w:rsidRPr="00000000">
        <w:rPr>
          <w:b w:val="1"/>
          <w:bCs w:val="1"/>
          <w:rtl w:val="0"/>
        </w:rPr>
        <w:t xml:space="preserve">EASP Operating Report</w:t>
      </w:r>
    </w:p>
    <w:p w:rsidR="00000000" w:rsidDel="00000000" w:rsidP="00000000" w:rsidRDefault="00000000" w:rsidRPr="00000000" w14:paraId="00000020">
      <w:pPr>
        <w:pageBreakBefore w:val="0"/>
        <w:spacing w:line="240" w:lineRule="auto"/>
        <w:rPr>
          <w:b w:val="1"/>
          <w:bCs w:val="1"/>
        </w:rPr>
      </w:pPr>
      <w:r w:rsidDel="00000000" w:rsidR="00000000" w:rsidRPr="00000000">
        <w:rPr>
          <w:rtl w:val="0"/>
        </w:rPr>
        <w:t xml:space="preserve"> </w:t>
        <w:tab/>
        <w:tab/>
        <w:t xml:space="preserve">  </w:t>
      </w:r>
      <w:r w:rsidDel="00000000" w:rsidR="00000000" w:rsidRPr="00000000">
        <w:rPr>
          <w:b w:val="1"/>
          <w:bCs w:val="1"/>
          <w:highlight w:val="white"/>
          <w:rtl w:val="0"/>
        </w:rPr>
        <w:tab/>
      </w:r>
      <w:r w:rsidDel="00000000" w:rsidR="00000000" w:rsidRPr="00000000">
        <w:rPr>
          <w:b w:val="1"/>
          <w:bCs w:val="1"/>
          <w:rtl w:val="0"/>
        </w:rPr>
        <w:t xml:space="preserve">     </w:t>
      </w:r>
    </w:p>
    <w:tbl>
      <w:tblPr>
        <w:tblStyle w:val="Table2"/>
        <w:tblW w:w="1438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98.125"/>
        <w:gridCol w:w="1798.125"/>
        <w:gridCol w:w="1798.125"/>
        <w:gridCol w:w="1798.125"/>
        <w:gridCol w:w="1798.125"/>
        <w:gridCol w:w="1798.125"/>
        <w:gridCol w:w="1798.125"/>
        <w:gridCol w:w="1798.125"/>
        <w:tblGridChange w:id="0">
          <w:tblGrid>
            <w:gridCol w:w="1798.125"/>
            <w:gridCol w:w="1798.125"/>
            <w:gridCol w:w="1798.125"/>
            <w:gridCol w:w="1798.125"/>
            <w:gridCol w:w="1798.125"/>
            <w:gridCol w:w="1798.125"/>
            <w:gridCol w:w="1798.125"/>
            <w:gridCol w:w="1798.125"/>
          </w:tblGrid>
        </w:tblGridChange>
      </w:tblGrid>
      <w:tr>
        <w:trPr>
          <w:cantSplit w:val="0"/>
          <w:trHeight w:val="7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rPr>
                <w:b w:val="1"/>
                <w:bCs w:val="1"/>
              </w:rPr>
            </w:pPr>
            <w:r w:rsidDel="00000000" w:rsidR="00000000" w:rsidRPr="00000000">
              <w:rPr>
                <w:b w:val="1"/>
                <w:bCs w:val="1"/>
                <w:rtl w:val="0"/>
              </w:rPr>
              <w:t xml:space="preserve">School 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bCs w:val="1"/>
              </w:rPr>
            </w:pPr>
            <w:r w:rsidDel="00000000" w:rsidR="00000000" w:rsidRPr="00000000">
              <w:rPr>
                <w:b w:val="1"/>
                <w:bCs w:val="1"/>
                <w:rtl w:val="0"/>
              </w:rPr>
              <w:t xml:space="preserve">2018-2019</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23">
            <w:pPr>
              <w:rPr>
                <w:b w:val="1"/>
                <w:bCs w:val="1"/>
                <w:highlight w:val="white"/>
              </w:rPr>
            </w:pPr>
            <w:r w:rsidDel="00000000" w:rsidR="00000000" w:rsidRPr="00000000">
              <w:rPr>
                <w:b w:val="1"/>
                <w:bCs w:val="1"/>
                <w:rtl w:val="0"/>
              </w:rPr>
              <w:t xml:space="preserve">20</w:t>
            </w:r>
            <w:r w:rsidDel="00000000" w:rsidR="00000000" w:rsidRPr="00000000">
              <w:rPr>
                <w:b w:val="1"/>
                <w:bCs w:val="1"/>
                <w:highlight w:val="white"/>
                <w:rtl w:val="0"/>
              </w:rPr>
              <w:t xml:space="preserve">19-2020 </w:t>
            </w:r>
          </w:p>
        </w:tc>
        <w:tc>
          <w:tcPr>
            <w:tcMar>
              <w:top w:w="100.0" w:type="dxa"/>
              <w:left w:w="100.0" w:type="dxa"/>
              <w:bottom w:w="100.0" w:type="dxa"/>
              <w:right w:w="100.0" w:type="dxa"/>
            </w:tcMar>
            <w:vAlign w:val="top"/>
          </w:tcPr>
          <w:p w:rsidR="00000000" w:rsidDel="00000000" w:rsidP="00000000" w:rsidRDefault="00000000" w:rsidRPr="00000000" w14:paraId="00000024">
            <w:pPr>
              <w:rPr>
                <w:b w:val="1"/>
                <w:bCs w:val="1"/>
              </w:rPr>
            </w:pPr>
            <w:r w:rsidDel="00000000" w:rsidR="00000000" w:rsidRPr="00000000">
              <w:rPr>
                <w:b w:val="1"/>
                <w:bCs w:val="1"/>
                <w:rtl w:val="0"/>
              </w:rPr>
              <w:t xml:space="preserve">2020-2021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5">
            <w:pPr>
              <w:rPr>
                <w:b w:val="1"/>
                <w:bCs w:val="1"/>
              </w:rPr>
            </w:pPr>
            <w:r w:rsidDel="00000000" w:rsidR="00000000" w:rsidRPr="00000000">
              <w:rPr>
                <w:b w:val="1"/>
                <w:bCs w:val="1"/>
                <w:rtl w:val="0"/>
              </w:rPr>
              <w:t xml:space="preserve">2022-2023</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6">
            <w:pPr>
              <w:rPr>
                <w:b w:val="1"/>
                <w:bCs w:val="1"/>
              </w:rPr>
            </w:pPr>
            <w:r w:rsidDel="00000000" w:rsidR="00000000" w:rsidRPr="00000000">
              <w:rPr>
                <w:b w:val="1"/>
                <w:bCs w:val="1"/>
                <w:rtl w:val="0"/>
              </w:rPr>
              <w:t xml:space="preserve">2023-2024</w:t>
            </w:r>
          </w:p>
        </w:tc>
        <w:tc>
          <w:tcPr>
            <w:tcMar>
              <w:top w:w="100.0" w:type="dxa"/>
              <w:left w:w="100.0" w:type="dxa"/>
              <w:bottom w:w="100.0" w:type="dxa"/>
              <w:right w:w="100.0" w:type="dxa"/>
            </w:tcMar>
            <w:vAlign w:val="top"/>
          </w:tcPr>
          <w:p w:rsidR="00000000" w:rsidDel="00000000" w:rsidP="00000000" w:rsidRDefault="00000000" w:rsidRPr="00000000" w14:paraId="00000027">
            <w:pPr>
              <w:rPr>
                <w:b w:val="1"/>
                <w:bCs w:val="1"/>
              </w:rPr>
            </w:pPr>
            <w:r w:rsidDel="00000000" w:rsidR="00000000" w:rsidRPr="00000000">
              <w:rPr>
                <w:b w:val="1"/>
                <w:bCs w:val="1"/>
                <w:rtl w:val="0"/>
              </w:rPr>
              <w:t xml:space="preserve">2024-2025</w:t>
            </w:r>
          </w:p>
        </w:tc>
        <w:tc>
          <w:tcPr>
            <w:shd w:fill="ffd966" w:val="clear"/>
            <w:tcMar>
              <w:top w:w="100.0" w:type="dxa"/>
              <w:left w:w="100.0" w:type="dxa"/>
              <w:bottom w:w="100.0" w:type="dxa"/>
              <w:right w:w="100.0" w:type="dxa"/>
            </w:tcMar>
            <w:vAlign w:val="top"/>
          </w:tcPr>
          <w:p w:rsidR="00000000" w:rsidDel="00000000" w:rsidP="00000000" w:rsidRDefault="00000000" w:rsidRPr="00000000" w14:paraId="00000028">
            <w:pPr>
              <w:rPr>
                <w:b w:val="1"/>
                <w:bCs w:val="1"/>
              </w:rPr>
            </w:pPr>
            <w:r w:rsidDel="00000000" w:rsidR="00000000" w:rsidRPr="00000000">
              <w:rPr>
                <w:b w:val="1"/>
                <w:bCs w:val="1"/>
                <w:rtl w:val="0"/>
              </w:rPr>
              <w:t xml:space="preserve">2025-2026</w:t>
            </w:r>
          </w:p>
        </w:tc>
      </w:tr>
      <w:tr>
        <w:trPr>
          <w:cantSplit w:val="0"/>
          <w:trHeight w:val="7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Total Number of Students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127</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highlight w:val="white"/>
              </w:rPr>
            </w:pPr>
            <w:r w:rsidDel="00000000" w:rsidR="00000000" w:rsidRPr="00000000">
              <w:rPr>
                <w:highlight w:val="white"/>
                <w:rtl w:val="0"/>
              </w:rPr>
              <w:t xml:space="preserve">136</w:t>
            </w:r>
          </w:p>
        </w:tc>
        <w:tc>
          <w:tcP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138</w:t>
            </w:r>
          </w:p>
        </w:tc>
        <w:tc>
          <w:tcP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158</w:t>
            </w:r>
          </w:p>
        </w:tc>
        <w:tc>
          <w:tcP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135</w:t>
            </w:r>
          </w:p>
        </w:tc>
        <w:tc>
          <w:tcP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144</w:t>
            </w:r>
          </w:p>
        </w:tc>
        <w:tc>
          <w:tcPr>
            <w:shd w:fill="ffd966"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bCs w:val="1"/>
              </w:rPr>
            </w:pPr>
            <w:r w:rsidDel="00000000" w:rsidR="00000000" w:rsidRPr="00000000">
              <w:rPr>
                <w:b w:val="1"/>
                <w:bCs w:val="1"/>
                <w:rtl w:val="0"/>
              </w:rPr>
              <w:t xml:space="preserve">139</w:t>
            </w:r>
          </w:p>
        </w:tc>
      </w:tr>
      <w:tr>
        <w:trPr>
          <w:cantSplit w:val="0"/>
          <w:trHeight w:val="7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Average Daily Attendance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59</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highlight w:val="white"/>
              </w:rPr>
            </w:pPr>
            <w:r w:rsidDel="00000000" w:rsidR="00000000" w:rsidRPr="00000000">
              <w:rPr>
                <w:highlight w:val="white"/>
                <w:rtl w:val="0"/>
              </w:rPr>
              <w:t xml:space="preserve">78</w:t>
            </w:r>
          </w:p>
        </w:tc>
        <w:tc>
          <w:tcP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79</w:t>
            </w:r>
          </w:p>
        </w:tc>
        <w:tc>
          <w:tcP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112</w:t>
            </w:r>
          </w:p>
        </w:tc>
        <w:tc>
          <w:tcP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111</w:t>
            </w:r>
          </w:p>
        </w:tc>
        <w:tc>
          <w:tcP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116</w:t>
            </w:r>
          </w:p>
        </w:tc>
        <w:tc>
          <w:tcPr>
            <w:shd w:fill="ffd966"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bCs w:val="1"/>
              </w:rPr>
            </w:pPr>
            <w:r w:rsidDel="00000000" w:rsidR="00000000" w:rsidRPr="00000000">
              <w:rPr>
                <w:b w:val="1"/>
                <w:bCs w:val="1"/>
                <w:rtl w:val="0"/>
              </w:rPr>
              <w:t xml:space="preserve">123</w:t>
            </w:r>
          </w:p>
        </w:tc>
      </w:tr>
      <w:tr>
        <w:trPr>
          <w:cantSplit w:val="0"/>
          <w:trHeight w:val="7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Number of Days Open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156</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highlight w:val="white"/>
              </w:rPr>
            </w:pPr>
            <w:r w:rsidDel="00000000" w:rsidR="00000000" w:rsidRPr="00000000">
              <w:rPr>
                <w:highlight w:val="white"/>
                <w:rtl w:val="0"/>
              </w:rPr>
              <w:t xml:space="preserve">114</w:t>
            </w:r>
          </w:p>
        </w:tc>
        <w:tc>
          <w:tcP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162</w:t>
            </w:r>
          </w:p>
        </w:tc>
        <w:tc>
          <w:tcP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167</w:t>
            </w:r>
          </w:p>
        </w:tc>
        <w:tc>
          <w:tcP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170</w:t>
            </w:r>
          </w:p>
        </w:tc>
        <w:tc>
          <w:tcP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171</w:t>
            </w:r>
          </w:p>
        </w:tc>
        <w:tc>
          <w:tcPr>
            <w:shd w:fill="ffd966"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bCs w:val="1"/>
              </w:rPr>
            </w:pPr>
            <w:r w:rsidDel="00000000" w:rsidR="00000000" w:rsidRPr="00000000">
              <w:rPr>
                <w:b w:val="1"/>
                <w:bCs w:val="1"/>
                <w:rtl w:val="0"/>
              </w:rPr>
              <w:t xml:space="preserve">168</w:t>
            </w:r>
          </w:p>
        </w:tc>
      </w:tr>
      <w:tr>
        <w:trPr>
          <w:cantSplit w:val="0"/>
          <w:trHeight w:val="7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Number of Staff</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27</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highlight w:val="white"/>
              </w:rPr>
            </w:pPr>
            <w:r w:rsidDel="00000000" w:rsidR="00000000" w:rsidRPr="00000000">
              <w:rPr>
                <w:highlight w:val="white"/>
                <w:rtl w:val="0"/>
              </w:rPr>
              <w:t xml:space="preserve">23</w:t>
            </w:r>
          </w:p>
        </w:tc>
        <w:tc>
          <w:tcP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27</w:t>
            </w:r>
          </w:p>
        </w:tc>
        <w:tc>
          <w:tcP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26</w:t>
            </w:r>
          </w:p>
        </w:tc>
        <w:tc>
          <w:tcP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20</w:t>
            </w:r>
          </w:p>
        </w:tc>
        <w:tc>
          <w:tcP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18</w:t>
            </w:r>
          </w:p>
        </w:tc>
        <w:tc>
          <w:tcPr>
            <w:shd w:fill="ffd966"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bCs w:val="1"/>
              </w:rPr>
            </w:pPr>
            <w:r w:rsidDel="00000000" w:rsidR="00000000" w:rsidRPr="00000000">
              <w:rPr>
                <w:b w:val="1"/>
                <w:bCs w:val="1"/>
                <w:rtl w:val="0"/>
              </w:rPr>
              <w:t xml:space="preserve">18</w:t>
            </w:r>
          </w:p>
        </w:tc>
      </w:tr>
    </w:tbl>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rPr>
          <w:sz w:val="20"/>
          <w:szCs w:val="20"/>
        </w:rPr>
      </w:pPr>
      <w:r w:rsidDel="00000000" w:rsidR="00000000" w:rsidRPr="00000000">
        <w:rPr>
          <w:rtl w:val="0"/>
        </w:rPr>
      </w:r>
    </w:p>
    <w:sectPr>
      <w:pgSz w:h="12240" w:w="15840" w:orient="landscape"/>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rPr/>
    <w:tblPr>
      <w:tblStyleRowBandSize w:val="1"/>
      <w:tblStyleColBandSize w:val="1"/>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